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23" w:rsidRPr="00270702" w:rsidRDefault="00C72023" w:rsidP="00C7202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C72023" w:rsidRPr="00BA5F6D" w:rsidRDefault="00C72023" w:rsidP="00C72023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C72023" w:rsidRPr="00BA5F6D" w:rsidRDefault="00C72023" w:rsidP="00C720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C72023" w:rsidRPr="00BA5F6D" w:rsidRDefault="00C72023" w:rsidP="00C720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72023" w:rsidRPr="00BA5F6D" w:rsidRDefault="00C72023" w:rsidP="00C720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C72023" w:rsidRPr="00BA5F6D" w:rsidSect="006345FE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C72023" w:rsidRPr="00BA5F6D" w:rsidRDefault="00C72023" w:rsidP="00C720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72023" w:rsidRPr="00BA5F6D" w:rsidRDefault="00C72023" w:rsidP="00C7202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 xml:space="preserve">U.S.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1679A5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1679A5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1679A5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1679A5">
        <w:rPr>
          <w:rFonts w:asciiTheme="minorHAnsi" w:hAnsiTheme="minorHAnsi" w:cstheme="minorHAnsi"/>
          <w:bCs/>
          <w:sz w:val="20"/>
          <w:szCs w:val="21"/>
        </w:rPr>
        <w:t>s</w:t>
      </w:r>
      <w:r w:rsidR="001679A5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C72023" w:rsidRPr="00BA5F6D" w:rsidRDefault="00C72023" w:rsidP="00C7202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6345FE">
        <w:rPr>
          <w:rFonts w:asciiTheme="minorHAnsi" w:hAnsiTheme="minorHAnsi" w:cstheme="minorHAnsi"/>
          <w:bCs/>
          <w:sz w:val="20"/>
          <w:szCs w:val="21"/>
        </w:rPr>
        <w:t>Yet only</w:t>
      </w:r>
      <w:r w:rsidRPr="006345FE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8C30B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074632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Nevada’s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Nevada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C72023" w:rsidRPr="0025492D" w:rsidTr="006345FE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72023" w:rsidRPr="0025492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72023" w:rsidRPr="0025492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C72023" w:rsidRPr="0025492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8C30BD" w:rsidRPr="0025492D" w:rsidTr="008C30B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C30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11,539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0BD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30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</w:p>
        </w:tc>
      </w:tr>
      <w:tr w:rsidR="008C30BD" w:rsidRPr="0025492D" w:rsidTr="008C30B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C30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26,036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0BD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30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16%</w:t>
            </w:r>
          </w:p>
        </w:tc>
      </w:tr>
      <w:tr w:rsidR="008C30BD" w:rsidRPr="0025492D" w:rsidTr="008C30B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C30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32,712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0BD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30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13%</w:t>
            </w:r>
          </w:p>
        </w:tc>
      </w:tr>
      <w:tr w:rsidR="008C30BD" w:rsidRPr="0025492D" w:rsidTr="008C30B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C30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54,615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0BD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8C30BD" w:rsidRPr="008C30BD" w:rsidRDefault="008C30BD" w:rsidP="008C30B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30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</w:tbl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C72023" w:rsidRPr="00BA5F6D" w:rsidSect="006345F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C72023" w:rsidRPr="00270702" w:rsidRDefault="00C72023" w:rsidP="00C7202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72023" w:rsidRPr="00BA5F6D" w:rsidRDefault="00C72023" w:rsidP="00C720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Nevada’s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66E31D5" wp14:editId="6C7A833B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752" w:type="pct"/>
        <w:tblLook w:val="04A0" w:firstRow="1" w:lastRow="0" w:firstColumn="1" w:lastColumn="0" w:noHBand="0" w:noVBand="1"/>
      </w:tblPr>
      <w:tblGrid>
        <w:gridCol w:w="1463"/>
        <w:gridCol w:w="727"/>
        <w:gridCol w:w="872"/>
        <w:gridCol w:w="827"/>
        <w:gridCol w:w="869"/>
        <w:gridCol w:w="988"/>
      </w:tblGrid>
      <w:tr w:rsidR="00C72023" w:rsidRPr="00BA5F6D" w:rsidTr="00C72023">
        <w:trPr>
          <w:trHeight w:val="237"/>
        </w:trPr>
        <w:tc>
          <w:tcPr>
            <w:tcW w:w="1272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72023" w:rsidRPr="00BA5F6D" w:rsidRDefault="00C72023" w:rsidP="00C72023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75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72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56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6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C72023" w:rsidRPr="00BA5F6D" w:rsidTr="00C72023">
        <w:trPr>
          <w:trHeight w:val="243"/>
        </w:trPr>
        <w:tc>
          <w:tcPr>
            <w:tcW w:w="1272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</w:p>
        </w:tc>
        <w:tc>
          <w:tcPr>
            <w:tcW w:w="63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="00C7202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C7202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  <w:tc>
          <w:tcPr>
            <w:tcW w:w="75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C7202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72023" w:rsidRPr="00BA5F6D" w:rsidRDefault="008C30BD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C7202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C72023" w:rsidRPr="00BA5F6D" w:rsidTr="00C72023">
        <w:trPr>
          <w:trHeight w:val="153"/>
        </w:trPr>
        <w:tc>
          <w:tcPr>
            <w:tcW w:w="1272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3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  <w:r w:rsidR="00C72023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  <w:r w:rsidR="00C72023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  <w:r w:rsidR="00C720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72023" w:rsidRPr="00BA5F6D" w:rsidRDefault="008C30BD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C7202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C72023" w:rsidRPr="00BA5F6D" w:rsidTr="00C72023">
        <w:trPr>
          <w:trHeight w:val="135"/>
        </w:trPr>
        <w:tc>
          <w:tcPr>
            <w:tcW w:w="1272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3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C7202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7202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7202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49%</w:t>
            </w:r>
          </w:p>
        </w:tc>
        <w:tc>
          <w:tcPr>
            <w:tcW w:w="75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8C30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="00C7202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C72023" w:rsidRPr="00BA5F6D" w:rsidTr="00C72023">
        <w:trPr>
          <w:trHeight w:val="65"/>
        </w:trPr>
        <w:tc>
          <w:tcPr>
            <w:tcW w:w="1272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3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72023" w:rsidRPr="00BA5F6D" w:rsidRDefault="00C72023" w:rsidP="00C72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C30B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72023" w:rsidRPr="00BA5F6D" w:rsidRDefault="008C30BD" w:rsidP="00C72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  <w:r w:rsidR="00C7202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72023" w:rsidRPr="00BA5F6D" w:rsidRDefault="002C1591" w:rsidP="00C72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29%</w:t>
            </w:r>
          </w:p>
        </w:tc>
        <w:tc>
          <w:tcPr>
            <w:tcW w:w="756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72023" w:rsidRPr="00BA5F6D" w:rsidRDefault="002C1591" w:rsidP="00C72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="00C7202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6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C72023" w:rsidRPr="00BA5F6D" w:rsidRDefault="00C72023" w:rsidP="00C720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C72023" w:rsidRPr="00270702" w:rsidRDefault="00C72023" w:rsidP="00C7202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72023" w:rsidRPr="00BA5F6D" w:rsidRDefault="00C72023" w:rsidP="00C720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72023" w:rsidRPr="00BA5F6D" w:rsidRDefault="002C1591" w:rsidP="00C7202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F90F4D" wp14:editId="18CCC9C7">
            <wp:simplePos x="0" y="0"/>
            <wp:positionH relativeFrom="margin">
              <wp:posOffset>3550920</wp:posOffset>
            </wp:positionH>
            <wp:positionV relativeFrom="margin">
              <wp:posOffset>6597650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0CA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37</w:t>
      </w:r>
      <w:r w:rsidR="00C7202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72023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C72023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D210CA">
        <w:rPr>
          <w:rFonts w:asciiTheme="minorHAnsi" w:hAnsiTheme="minorHAnsi" w:cstheme="minorHAnsi"/>
          <w:bCs/>
          <w:sz w:val="20"/>
          <w:szCs w:val="20"/>
        </w:rPr>
        <w:t xml:space="preserve">Nevada’s </w:t>
      </w:r>
      <w:r w:rsidR="00C72023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D210CA">
        <w:rPr>
          <w:rFonts w:asciiTheme="minorHAnsi" w:hAnsiTheme="minorHAnsi" w:cstheme="minorHAnsi"/>
          <w:bCs/>
          <w:sz w:val="20"/>
          <w:szCs w:val="20"/>
        </w:rPr>
        <w:t>community</w:t>
      </w:r>
      <w:r w:rsidR="00C72023">
        <w:rPr>
          <w:rFonts w:asciiTheme="minorHAnsi" w:hAnsiTheme="minorHAnsi" w:cstheme="minorHAnsi"/>
          <w:bCs/>
          <w:sz w:val="20"/>
          <w:szCs w:val="20"/>
        </w:rPr>
        <w:t xml:space="preserve"> colleges</w:t>
      </w:r>
      <w:r w:rsidR="00D210C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D210CA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61%</w:t>
      </w:r>
      <w:r w:rsidR="00D210CA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D210CA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D210CA">
        <w:rPr>
          <w:rFonts w:asciiTheme="minorHAnsi" w:hAnsiTheme="minorHAnsi" w:cstheme="minorHAnsi"/>
          <w:bCs/>
          <w:sz w:val="20"/>
          <w:szCs w:val="20"/>
        </w:rPr>
        <w:t xml:space="preserve">Nevada’s </w:t>
      </w:r>
      <w:r w:rsidR="00D210CA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D210CA">
        <w:rPr>
          <w:rFonts w:asciiTheme="minorHAnsi" w:hAnsiTheme="minorHAnsi" w:cstheme="minorHAnsi"/>
          <w:bCs/>
          <w:sz w:val="20"/>
          <w:szCs w:val="20"/>
        </w:rPr>
        <w:t xml:space="preserve">Nevada State College, and </w:t>
      </w:r>
      <w:r w:rsidR="00C72023" w:rsidRPr="00007238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</w:t>
      </w:r>
      <w:r w:rsidR="00D210CA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9</w:t>
      </w:r>
      <w:r w:rsidR="00C72023" w:rsidRPr="00007238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 xml:space="preserve">% </w:t>
      </w:r>
      <w:r w:rsidR="00C72023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D210CA">
        <w:rPr>
          <w:rFonts w:asciiTheme="minorHAnsi" w:hAnsiTheme="minorHAnsi" w:cstheme="minorHAnsi"/>
          <w:bCs/>
          <w:sz w:val="20"/>
          <w:szCs w:val="20"/>
        </w:rPr>
        <w:t>Nevada’s</w:t>
      </w:r>
      <w:r w:rsidR="00C72023">
        <w:rPr>
          <w:rFonts w:asciiTheme="minorHAnsi" w:hAnsiTheme="minorHAnsi" w:cstheme="minorHAnsi"/>
          <w:bCs/>
          <w:sz w:val="20"/>
          <w:szCs w:val="20"/>
        </w:rPr>
        <w:t xml:space="preserve"> students in four-year </w:t>
      </w:r>
      <w:r w:rsidR="00D210CA">
        <w:rPr>
          <w:rFonts w:asciiTheme="minorHAnsi" w:hAnsiTheme="minorHAnsi" w:cstheme="minorHAnsi"/>
          <w:bCs/>
          <w:sz w:val="20"/>
          <w:szCs w:val="20"/>
        </w:rPr>
        <w:t>universities</w:t>
      </w:r>
      <w:r w:rsidR="00C720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72023" w:rsidRPr="00BA5F6D">
        <w:rPr>
          <w:rFonts w:asciiTheme="minorHAnsi" w:hAnsiTheme="minorHAnsi" w:cstheme="minorHAnsi"/>
          <w:bCs/>
          <w:sz w:val="20"/>
          <w:szCs w:val="20"/>
        </w:rPr>
        <w:t>require remediation</w:t>
      </w:r>
      <w:r w:rsidR="00C72023">
        <w:rPr>
          <w:rFonts w:asciiTheme="minorHAnsi" w:hAnsiTheme="minorHAnsi" w:cstheme="minorHAnsi"/>
          <w:bCs/>
          <w:sz w:val="20"/>
          <w:szCs w:val="20"/>
        </w:rPr>
        <w:t xml:space="preserve"> upon entry</w:t>
      </w:r>
      <w:r w:rsidR="00C72023" w:rsidRPr="00BA5F6D">
        <w:rPr>
          <w:rFonts w:asciiTheme="minorHAnsi" w:hAnsiTheme="minorHAnsi" w:cstheme="minorHAnsi"/>
          <w:bCs/>
          <w:sz w:val="20"/>
          <w:szCs w:val="20"/>
        </w:rPr>
        <w:t>.</w:t>
      </w:r>
      <w:r w:rsidR="00C72023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C72023" w:rsidRPr="00BA5F6D" w:rsidRDefault="002C1591" w:rsidP="00C7202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Only about a third</w:t>
      </w:r>
      <w:r w:rsidR="00C72023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DE0B8A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8</w:t>
      </w:r>
      <w:r w:rsidR="00C72023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72023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C72023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C72023">
        <w:rPr>
          <w:rFonts w:asciiTheme="minorHAnsi" w:hAnsiTheme="minorHAnsi" w:cstheme="minorHAnsi"/>
          <w:bCs/>
          <w:sz w:val="20"/>
          <w:szCs w:val="20"/>
        </w:rPr>
        <w:t xml:space="preserve">Nevada </w:t>
      </w:r>
      <w:r w:rsidR="00C72023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C72023" w:rsidRPr="00BA5F6D" w:rsidRDefault="00C72023" w:rsidP="00C72023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C72023" w:rsidRPr="00BA5F6D" w:rsidRDefault="00C72023" w:rsidP="00C72023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074632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C72023" w:rsidRPr="00BA5F6D" w:rsidRDefault="00C72023" w:rsidP="00C7202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72023" w:rsidRPr="00BA5F6D" w:rsidRDefault="00C72023" w:rsidP="00C7202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C72023" w:rsidRPr="00BA5F6D" w:rsidSect="006345F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C13050" w:rsidRDefault="00C13050" w:rsidP="007231AF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72023" w:rsidRPr="00270702" w:rsidRDefault="00C72023" w:rsidP="00C7202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Montana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C72023" w:rsidRPr="00BA5F6D" w:rsidRDefault="00C72023" w:rsidP="00C72023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C72023" w:rsidRPr="00C72023" w:rsidRDefault="00C72023" w:rsidP="00C7202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Nevada </w:t>
      </w:r>
      <w:r w:rsidRPr="00B71000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 w:rsidR="002C1591">
        <w:rPr>
          <w:rFonts w:asciiTheme="minorHAnsi" w:hAnsiTheme="minorHAnsi" w:cstheme="minorHAnsi"/>
          <w:sz w:val="20"/>
          <w:szCs w:val="20"/>
        </w:rPr>
        <w:t>June</w:t>
      </w:r>
      <w:r w:rsidRPr="00B71000">
        <w:rPr>
          <w:rFonts w:asciiTheme="minorHAnsi" w:hAnsiTheme="minorHAnsi" w:cstheme="minorHAnsi"/>
          <w:sz w:val="20"/>
          <w:szCs w:val="20"/>
        </w:rPr>
        <w:t xml:space="preserve"> 201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B71000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C72023" w:rsidRDefault="00C72023" w:rsidP="00C72023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C72023" w:rsidRDefault="00C72023" w:rsidP="00C7202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Nevada 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is a </w:t>
      </w:r>
      <w:r>
        <w:rPr>
          <w:rFonts w:asciiTheme="minorHAnsi" w:hAnsiTheme="minorHAnsi" w:cstheme="minorHAnsi"/>
          <w:bCs/>
          <w:sz w:val="20"/>
          <w:szCs w:val="20"/>
        </w:rPr>
        <w:t>governing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 state in the Smarter Balanced Assessment Consortium</w:t>
      </w:r>
      <w:r>
        <w:rPr>
          <w:rFonts w:asciiTheme="minorHAnsi" w:hAnsiTheme="minorHAnsi" w:cstheme="minorHAnsi"/>
          <w:bCs/>
          <w:sz w:val="20"/>
          <w:szCs w:val="20"/>
        </w:rPr>
        <w:t xml:space="preserve"> (SBAC)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a group of states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working together to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develop an assessment system aligned to the Common Core State Standards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C72023" w:rsidRPr="00D2052D" w:rsidRDefault="00C72023" w:rsidP="00C7202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C72023" w:rsidRPr="003A1AB0" w:rsidRDefault="00C72023" w:rsidP="003A1AB0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Nevada </w:t>
      </w:r>
      <w:r w:rsidR="003A1AB0">
        <w:rPr>
          <w:rFonts w:ascii="Calibri" w:hAnsi="Calibri" w:cs="Calibri"/>
          <w:sz w:val="20"/>
          <w:szCs w:val="20"/>
        </w:rPr>
        <w:t>has met five of the ten State Actions identified by the Data Quality Campaign, providing a foundation for strong and sound student-level data collection and use.</w:t>
      </w:r>
    </w:p>
    <w:p w:rsidR="002C1591" w:rsidRDefault="002C1591" w:rsidP="002C1591">
      <w:pPr>
        <w:rPr>
          <w:rFonts w:asciiTheme="minorHAnsi" w:hAnsiTheme="minorHAnsi" w:cstheme="minorHAnsi"/>
          <w:i/>
          <w:sz w:val="20"/>
          <w:szCs w:val="20"/>
        </w:rPr>
      </w:pPr>
    </w:p>
    <w:p w:rsidR="002C1591" w:rsidRPr="002C1591" w:rsidRDefault="002C1591" w:rsidP="002C1591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Nevada</w:t>
      </w:r>
      <w:r w:rsidRPr="002C1591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C13050">
        <w:rPr>
          <w:rFonts w:asciiTheme="minorHAnsi" w:hAnsiTheme="minorHAnsi" w:cstheme="minorHAnsi"/>
          <w:i/>
          <w:sz w:val="20"/>
          <w:szCs w:val="20"/>
        </w:rPr>
        <w:t>6</w:t>
      </w:r>
      <w:r w:rsidRPr="002C1591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</w:t>
      </w:r>
      <w:r w:rsidRPr="002C1591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C72023" w:rsidRPr="00CC59A3" w:rsidRDefault="00C72023" w:rsidP="00C7202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72023" w:rsidRDefault="00C72023" w:rsidP="00C7202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Nevada </w:t>
      </w:r>
      <w:r w:rsidRPr="00117053">
        <w:rPr>
          <w:rFonts w:asciiTheme="minorHAnsi" w:hAnsiTheme="minorHAnsi" w:cstheme="minorHAnsi"/>
          <w:sz w:val="20"/>
          <w:szCs w:val="20"/>
        </w:rPr>
        <w:t xml:space="preserve">collects and uses only one indicator of college and career readiness, and will need to expand its range of indicators to get a more complete picture of how their students are faring in K-12 and beyond. </w:t>
      </w:r>
    </w:p>
    <w:p w:rsidR="00C72023" w:rsidRPr="00117053" w:rsidRDefault="00C72023" w:rsidP="00C72023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C72023" w:rsidRPr="00BA5F6D" w:rsidTr="006345FE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C72023" w:rsidRPr="00BA5F6D" w:rsidTr="006345FE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2023" w:rsidRDefault="00C72023" w:rsidP="006345FE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C72023" w:rsidRDefault="00C72023" w:rsidP="006345FE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C72023" w:rsidRDefault="00C72023" w:rsidP="006345FE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72023" w:rsidRPr="00BA5F6D" w:rsidTr="006345FE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72023" w:rsidRPr="00BA5F6D" w:rsidTr="006345FE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72023" w:rsidRPr="00BA5F6D" w:rsidTr="006345FE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72023" w:rsidRPr="00BA5F6D" w:rsidRDefault="00C72023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C72023" w:rsidRDefault="00C72023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72023" w:rsidRDefault="00C72023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72023" w:rsidRDefault="00C72023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72023" w:rsidRDefault="00C72023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72023" w:rsidRDefault="00C72023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72023" w:rsidRDefault="00C72023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72023" w:rsidRDefault="00C72023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13050" w:rsidRDefault="00C13050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231AF" w:rsidRDefault="007231AF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231AF" w:rsidRDefault="007231AF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231AF" w:rsidRDefault="007231AF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13050" w:rsidRDefault="00C13050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72023" w:rsidRDefault="00C72023" w:rsidP="007231AF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72023" w:rsidRPr="00270702" w:rsidRDefault="00C72023" w:rsidP="00C7202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 w:rsidRPr="00C72023">
        <w:rPr>
          <w:rFonts w:ascii="Myriad Pro Light" w:hAnsi="Myriad Pro Light" w:cstheme="minorHAnsi"/>
          <w:b/>
          <w:i/>
          <w:color w:val="0091B2"/>
          <w:szCs w:val="20"/>
        </w:rPr>
        <w:t xml:space="preserve">Nevada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C72023" w:rsidRPr="00270702" w:rsidRDefault="00C72023" w:rsidP="003A1AB0">
      <w:pPr>
        <w:pBdr>
          <w:bottom w:val="single" w:sz="12" w:space="2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C72023" w:rsidRDefault="00C72023" w:rsidP="00C7202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C72023" w:rsidRPr="00D2052D" w:rsidRDefault="00C72023" w:rsidP="00C7202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C72023" w:rsidRPr="00D2052D" w:rsidRDefault="00C72023" w:rsidP="00C7202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D2052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C13050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D2052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Common Core State Standards.</w:t>
      </w:r>
    </w:p>
    <w:p w:rsidR="00C72023" w:rsidRPr="00BA5F6D" w:rsidRDefault="00C72023" w:rsidP="00C7202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C72023" w:rsidRPr="00BA5F6D" w:rsidRDefault="00C72023" w:rsidP="00C720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readiness.</w:t>
      </w:r>
    </w:p>
    <w:p w:rsidR="00C72023" w:rsidRDefault="00C72023" w:rsidP="00C72023">
      <w:pPr>
        <w:rPr>
          <w:rFonts w:asciiTheme="minorHAnsi" w:hAnsiTheme="minorHAnsi" w:cstheme="minorHAnsi"/>
        </w:rPr>
      </w:pPr>
    </w:p>
    <w:p w:rsidR="002C1591" w:rsidRPr="00BA5F6D" w:rsidRDefault="002C1591" w:rsidP="00C72023">
      <w:pPr>
        <w:rPr>
          <w:rFonts w:asciiTheme="minorHAnsi" w:hAnsiTheme="minorHAnsi" w:cstheme="minorHAnsi"/>
        </w:rPr>
      </w:pPr>
    </w:p>
    <w:sectPr w:rsidR="002C1591" w:rsidRPr="00BA5F6D" w:rsidSect="006345FE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B0" w:rsidRDefault="003A1AB0" w:rsidP="00C72023">
      <w:pPr>
        <w:spacing w:line="240" w:lineRule="auto"/>
      </w:pPr>
      <w:r>
        <w:separator/>
      </w:r>
    </w:p>
  </w:endnote>
  <w:endnote w:type="continuationSeparator" w:id="0">
    <w:p w:rsidR="003A1AB0" w:rsidRDefault="003A1AB0" w:rsidP="00C72023">
      <w:pPr>
        <w:spacing w:line="240" w:lineRule="auto"/>
      </w:pPr>
      <w:r>
        <w:continuationSeparator/>
      </w:r>
    </w:p>
  </w:endnote>
  <w:endnote w:id="1">
    <w:p w:rsidR="003A1AB0" w:rsidRPr="002A3B22" w:rsidRDefault="003A1AB0" w:rsidP="00C72023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3A1AB0" w:rsidRPr="002A3B22" w:rsidRDefault="003A1AB0" w:rsidP="00C7202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3A1AB0" w:rsidRPr="002A3B22" w:rsidRDefault="003A1AB0" w:rsidP="00C7202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U.S. Census Bureau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3A1AB0" w:rsidRPr="002A3B22" w:rsidRDefault="003A1AB0" w:rsidP="00C7202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3A1AB0" w:rsidRPr="002A3B22" w:rsidRDefault="003A1AB0" w:rsidP="00C7202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3A1AB0" w:rsidRPr="002A3B22" w:rsidRDefault="003A1AB0" w:rsidP="00C7202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3A1AB0" w:rsidRPr="002A3B22" w:rsidRDefault="003A1AB0" w:rsidP="00C7202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3A1AB0" w:rsidRPr="002A3B22" w:rsidRDefault="003A1AB0" w:rsidP="00D210C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hyperlink r:id="rId6" w:history="1">
        <w:r w:rsidRPr="00D210CA">
          <w:rPr>
            <w:rStyle w:val="Hyperlink"/>
            <w:rFonts w:asciiTheme="minorHAnsi" w:hAnsiTheme="minorHAnsi" w:cstheme="minorHAnsi"/>
            <w:bCs/>
            <w:color w:val="263685"/>
            <w:sz w:val="15"/>
            <w:szCs w:val="15"/>
          </w:rPr>
          <w:t>http://system.nevada.edu/tasks/sites/Nshe/assets/File/Academics/reports/2010_Remedial_Report_-_FINAL_revised_3-30-2011.pdf</w:t>
        </w:r>
      </w:hyperlink>
      <w:r w:rsidRPr="00D210CA">
        <w:rPr>
          <w:rFonts w:asciiTheme="minorHAnsi" w:hAnsiTheme="minorHAnsi" w:cstheme="minorHAnsi"/>
          <w:bCs/>
          <w:color w:val="263685"/>
          <w:sz w:val="15"/>
          <w:szCs w:val="15"/>
        </w:rPr>
        <w:t xml:space="preserve"> </w:t>
      </w:r>
    </w:p>
  </w:endnote>
  <w:endnote w:id="9">
    <w:p w:rsidR="003A1AB0" w:rsidRPr="002A3B22" w:rsidRDefault="003A1AB0" w:rsidP="00C7202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3A1AB0" w:rsidRPr="002A3B22" w:rsidRDefault="003A1AB0" w:rsidP="00C7202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3A1AB0" w:rsidRPr="00F55A2B" w:rsidRDefault="003A1AB0" w:rsidP="00C7202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3A1AB0" w:rsidRPr="002A3B22" w:rsidRDefault="003A1AB0" w:rsidP="00C72023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661621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0" w:rsidRPr="009F3886" w:rsidRDefault="003A1AB0" w:rsidP="006345FE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396152" wp14:editId="6D5751C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40398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AB0" w:rsidRPr="009541DC" w:rsidRDefault="003A1AB0" w:rsidP="006345FE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Nevada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" stroked="f">
              <v:textbox style="mso-fit-shape-to-text:t">
                <w:txbxContent>
                  <w:p w:rsidR="003A1AB0" w:rsidRPr="009541DC" w:rsidRDefault="003A1AB0" w:rsidP="006345FE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Nevada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62336" behindDoc="1" locked="0" layoutInCell="1" allowOverlap="1" wp14:anchorId="49E9ABC4" wp14:editId="246F61EF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0" w:rsidRPr="009F3886" w:rsidRDefault="003A1AB0" w:rsidP="006345FE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FA4C7" wp14:editId="40B123C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AB0" w:rsidRPr="009541DC" w:rsidRDefault="003A1AB0" w:rsidP="006345FE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Nevada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6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TV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" stroked="f">
              <v:textbox style="mso-fit-shape-to-text:t">
                <w:txbxContent>
                  <w:p w:rsidR="003A1AB0" w:rsidRPr="009541DC" w:rsidRDefault="003A1AB0" w:rsidP="006345FE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Nevada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66B79AE8" wp14:editId="2CBEA6E6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B0" w:rsidRDefault="003A1AB0" w:rsidP="00C72023">
      <w:pPr>
        <w:spacing w:line="240" w:lineRule="auto"/>
      </w:pPr>
      <w:r>
        <w:separator/>
      </w:r>
    </w:p>
  </w:footnote>
  <w:footnote w:type="continuationSeparator" w:id="0">
    <w:p w:rsidR="003A1AB0" w:rsidRDefault="003A1AB0" w:rsidP="00C72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0" w:rsidRPr="00B955CA" w:rsidRDefault="003A1AB0" w:rsidP="006345FE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Nevada’s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3A1AB0" w:rsidRPr="008B471F" w:rsidRDefault="003A1AB0" w:rsidP="006345FE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0" w:rsidRPr="00B955CA" w:rsidRDefault="003A1AB0" w:rsidP="006345FE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Nevada’s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3A1AB0" w:rsidRPr="008B471F" w:rsidRDefault="003A1AB0" w:rsidP="006345FE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7165C"/>
    <w:multiLevelType w:val="hybridMultilevel"/>
    <w:tmpl w:val="03308B8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3"/>
    <w:rsid w:val="00074632"/>
    <w:rsid w:val="001679A5"/>
    <w:rsid w:val="002039B7"/>
    <w:rsid w:val="002C1591"/>
    <w:rsid w:val="003A1AB0"/>
    <w:rsid w:val="006345FE"/>
    <w:rsid w:val="00661621"/>
    <w:rsid w:val="007231AF"/>
    <w:rsid w:val="008C30BD"/>
    <w:rsid w:val="00C13050"/>
    <w:rsid w:val="00C72023"/>
    <w:rsid w:val="00D210CA"/>
    <w:rsid w:val="00DE0B8A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2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720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7202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202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72023"/>
    <w:rPr>
      <w:rFonts w:cs="Times New Roman"/>
      <w:color w:val="0000FF"/>
      <w:u w:val="single"/>
    </w:rPr>
  </w:style>
  <w:style w:type="paragraph" w:customStyle="1" w:styleId="Default">
    <w:name w:val="Default"/>
    <w:rsid w:val="00C720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0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20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2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7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7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2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720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7202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202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72023"/>
    <w:rPr>
      <w:rFonts w:cs="Times New Roman"/>
      <w:color w:val="0000FF"/>
      <w:u w:val="single"/>
    </w:rPr>
  </w:style>
  <w:style w:type="paragraph" w:customStyle="1" w:styleId="Default">
    <w:name w:val="Default"/>
    <w:rsid w:val="00C720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0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20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2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7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7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system.nevada.edu/tasks/sites/Nshe/assets/File/Academics/reports/2010_Remedial_Report_-_FINAL_revised_3-30-2011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7.0000000000000007E-2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179328"/>
        <c:axId val="98185216"/>
        <c:axId val="91752640"/>
      </c:bar3DChart>
      <c:catAx>
        <c:axId val="98179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8185216"/>
        <c:crosses val="autoZero"/>
        <c:auto val="1"/>
        <c:lblAlgn val="ctr"/>
        <c:lblOffset val="100"/>
        <c:noMultiLvlLbl val="0"/>
      </c:catAx>
      <c:valAx>
        <c:axId val="98185216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8179328"/>
        <c:crosses val="autoZero"/>
        <c:crossBetween val="between"/>
        <c:majorUnit val="3.0000000000000006E-2"/>
      </c:valAx>
      <c:serAx>
        <c:axId val="91752640"/>
        <c:scaling>
          <c:orientation val="minMax"/>
        </c:scaling>
        <c:delete val="1"/>
        <c:axPos val="b"/>
        <c:majorTickMark val="out"/>
        <c:minorTickMark val="none"/>
        <c:tickLblPos val="nextTo"/>
        <c:crossAx val="98185216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679424"/>
        <c:axId val="98685312"/>
        <c:axId val="0"/>
      </c:bar3DChart>
      <c:catAx>
        <c:axId val="9867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8685312"/>
        <c:crosses val="autoZero"/>
        <c:auto val="1"/>
        <c:lblAlgn val="ctr"/>
        <c:lblOffset val="100"/>
        <c:noMultiLvlLbl val="0"/>
      </c:catAx>
      <c:valAx>
        <c:axId val="98685312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8679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F84F104B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2012-09-10T17:11:00Z</dcterms:created>
  <dcterms:modified xsi:type="dcterms:W3CDTF">2012-09-21T16:16:00Z</dcterms:modified>
</cp:coreProperties>
</file>