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01" w:rsidRDefault="009D5F01" w:rsidP="009D5F01">
      <w:pPr>
        <w:pStyle w:val="Exercisehead"/>
      </w:pPr>
      <w:bookmarkStart w:id="0" w:name="_Toc223776909"/>
      <w:r w:rsidRPr="0012050E">
        <w:rPr>
          <w:caps/>
        </w:rPr>
        <w:t xml:space="preserve">Exercise </w:t>
      </w:r>
      <w:r>
        <w:t>9: Define Your State’s Role</w:t>
      </w:r>
      <w:bookmarkEnd w:id="0"/>
    </w:p>
    <w:p w:rsidR="009D5F01" w:rsidRPr="00F50383" w:rsidRDefault="009D5F01" w:rsidP="009D5F01">
      <w:pPr>
        <w:pStyle w:val="MainBodyText"/>
        <w:spacing w:after="0"/>
        <w:rPr>
          <w:b/>
        </w:rPr>
      </w:pPr>
      <w:r w:rsidRPr="00F50383">
        <w:rPr>
          <w:b/>
        </w:rPr>
        <w:t>Objective(s) for participants:</w:t>
      </w:r>
    </w:p>
    <w:p w:rsidR="009D5F01" w:rsidRDefault="009D5F01" w:rsidP="009D5F01">
      <w:pPr>
        <w:pStyle w:val="01bulletnospaceafter"/>
      </w:pPr>
      <w:r>
        <w:t>Identify what districts need for adoption, what their highest priorities are and what assistance they most need from the state.</w:t>
      </w:r>
    </w:p>
    <w:p w:rsidR="009D5F01" w:rsidRDefault="009D5F01" w:rsidP="009D5F01">
      <w:pPr>
        <w:pStyle w:val="01bulletnospaceafter"/>
      </w:pPr>
      <w:r>
        <w:t>Understand the role that the state has historically played in standards implementation in the past.</w:t>
      </w:r>
    </w:p>
    <w:p w:rsidR="009D5F01" w:rsidRDefault="009D5F01" w:rsidP="009D5F01">
      <w:pPr>
        <w:pStyle w:val="01bulletnospaceafter"/>
      </w:pPr>
      <w:r>
        <w:t>Articulate the role for the state to play in supporting districts in NGSS implementation.</w:t>
      </w:r>
    </w:p>
    <w:p w:rsidR="009D5F01" w:rsidRDefault="009D5F01" w:rsidP="009D5F01">
      <w:pPr>
        <w:pStyle w:val="01bulletnospaceafter"/>
      </w:pPr>
      <w:r>
        <w:t>Identify the real and perceived barriers or challenges within the state education agency to supporting standards implementation.</w:t>
      </w:r>
    </w:p>
    <w:p w:rsidR="009D5F01" w:rsidRPr="00F50383" w:rsidRDefault="009D5F01" w:rsidP="009D5F01">
      <w:pPr>
        <w:pStyle w:val="MainBodyText"/>
        <w:spacing w:after="0"/>
        <w:rPr>
          <w:b/>
        </w:rPr>
      </w:pPr>
      <w:r w:rsidRPr="00F50383">
        <w:rPr>
          <w:b/>
        </w:rPr>
        <w:t>Instructions:</w:t>
      </w:r>
    </w:p>
    <w:p w:rsidR="009D5F01" w:rsidRDefault="009D5F01" w:rsidP="009D5F01">
      <w:pPr>
        <w:pStyle w:val="01bulletnospaceafter"/>
      </w:pPr>
      <w:r>
        <w:t>Using the template, answer questions for each of the five levers under “Current Use” columns for the CCSS and past science standards implementation efforts:</w:t>
      </w:r>
    </w:p>
    <w:p w:rsidR="009D5F01" w:rsidRDefault="009D5F01" w:rsidP="009D5F01">
      <w:pPr>
        <w:pStyle w:val="02dashnospaceafter"/>
        <w:numPr>
          <w:ilvl w:val="1"/>
          <w:numId w:val="1"/>
        </w:numPr>
        <w:ind w:left="648" w:hanging="288"/>
      </w:pPr>
      <w:r>
        <w:t>How has this lever been relied on historically for standards implementation? If it has been avoided, why?</w:t>
      </w:r>
    </w:p>
    <w:p w:rsidR="009D5F01" w:rsidRDefault="009D5F01" w:rsidP="009D5F01">
      <w:pPr>
        <w:pStyle w:val="02dashnospaceafter"/>
        <w:numPr>
          <w:ilvl w:val="1"/>
          <w:numId w:val="1"/>
        </w:numPr>
        <w:ind w:left="648" w:hanging="288"/>
      </w:pPr>
      <w:r>
        <w:t>What has it looked like when this lever has been used successfully? What made it successful?</w:t>
      </w:r>
    </w:p>
    <w:p w:rsidR="009D5F01" w:rsidRDefault="009D5F01" w:rsidP="009D5F01">
      <w:pPr>
        <w:pStyle w:val="02dashnospaceafter"/>
        <w:numPr>
          <w:ilvl w:val="1"/>
          <w:numId w:val="1"/>
        </w:numPr>
        <w:ind w:left="648" w:hanging="288"/>
      </w:pPr>
      <w:r>
        <w:t>What has it looked like when this lever has been used unsuccessfully?</w:t>
      </w:r>
    </w:p>
    <w:p w:rsidR="009D5F01" w:rsidRDefault="009D5F01" w:rsidP="009D5F01">
      <w:pPr>
        <w:pStyle w:val="01bulletnospaceafter"/>
      </w:pPr>
      <w:r>
        <w:t>Using the template, answer questions for each of the five levers under “Future Use: NGSS Implementation”:</w:t>
      </w:r>
    </w:p>
    <w:p w:rsidR="009D5F01" w:rsidRDefault="009D5F01" w:rsidP="009D5F01">
      <w:pPr>
        <w:pStyle w:val="02dashnospaceafter"/>
        <w:numPr>
          <w:ilvl w:val="1"/>
          <w:numId w:val="1"/>
        </w:numPr>
        <w:ind w:left="648" w:hanging="288"/>
      </w:pPr>
      <w:r>
        <w:t>How important will this lever be to our implementation of the NGSS?</w:t>
      </w:r>
    </w:p>
    <w:p w:rsidR="009D5F01" w:rsidRDefault="009D5F01" w:rsidP="009D5F01">
      <w:pPr>
        <w:pStyle w:val="02dashnospaceafter"/>
        <w:numPr>
          <w:ilvl w:val="1"/>
          <w:numId w:val="1"/>
        </w:numPr>
        <w:ind w:left="648" w:hanging="288"/>
      </w:pPr>
      <w:r>
        <w:t xml:space="preserve">What will we do that will be similar to our current use of this lever? </w:t>
      </w:r>
    </w:p>
    <w:p w:rsidR="009D5F01" w:rsidRDefault="009D5F01" w:rsidP="009D5F01">
      <w:pPr>
        <w:pStyle w:val="02dash"/>
      </w:pPr>
      <w:r>
        <w:t xml:space="preserve">What will be </w:t>
      </w:r>
      <w:proofErr w:type="gramStart"/>
      <w:r>
        <w:t>different,</w:t>
      </w:r>
      <w:proofErr w:type="gramEnd"/>
      <w:r>
        <w:t xml:space="preserve"> and what will that require?</w:t>
      </w:r>
    </w:p>
    <w:p w:rsidR="009D5F01" w:rsidRPr="00F50383" w:rsidRDefault="009D5F01" w:rsidP="009D5F01">
      <w:pPr>
        <w:pStyle w:val="MainBodyText"/>
        <w:spacing w:after="0"/>
        <w:rPr>
          <w:b/>
        </w:rPr>
      </w:pPr>
      <w:r w:rsidRPr="00F50383">
        <w:rPr>
          <w:b/>
        </w:rPr>
        <w:t>Materials needed:</w:t>
      </w:r>
    </w:p>
    <w:p w:rsidR="009D5F01" w:rsidRDefault="009D5F01" w:rsidP="009D5F01">
      <w:pPr>
        <w:pStyle w:val="01bulletnospaceafter"/>
      </w:pPr>
      <w:r>
        <w:t>Template</w:t>
      </w:r>
    </w:p>
    <w:p w:rsidR="009D5F01" w:rsidRDefault="009D5F01" w:rsidP="009D5F01">
      <w:pPr>
        <w:pStyle w:val="01bullet"/>
      </w:pPr>
      <w:r>
        <w:t>Markers</w:t>
      </w:r>
    </w:p>
    <w:p w:rsidR="009D5F01" w:rsidRPr="00F50383" w:rsidRDefault="009D5F01" w:rsidP="009D5F01">
      <w:pPr>
        <w:pStyle w:val="MainBodyText"/>
        <w:rPr>
          <w:b/>
        </w:rPr>
      </w:pPr>
      <w:r w:rsidRPr="00F50383">
        <w:rPr>
          <w:b/>
        </w:rPr>
        <w:t xml:space="preserve">Template for Exercise </w:t>
      </w:r>
      <w:r>
        <w:rPr>
          <w:b/>
        </w:rPr>
        <w:t>9</w:t>
      </w:r>
      <w:r w:rsidRPr="00F5038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629"/>
        <w:gridCol w:w="2630"/>
        <w:gridCol w:w="2630"/>
      </w:tblGrid>
      <w:tr w:rsidR="009D5F01" w:rsidTr="00B66EF8">
        <w:tc>
          <w:tcPr>
            <w:tcW w:w="1687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9D5F01" w:rsidRPr="00F50383" w:rsidRDefault="009D5F0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F50383">
              <w:rPr>
                <w:b/>
                <w:color w:val="FFFFFF" w:themeColor="background1"/>
              </w:rPr>
              <w:t>Lever</w:t>
            </w:r>
          </w:p>
        </w:tc>
        <w:tc>
          <w:tcPr>
            <w:tcW w:w="2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9D5F01" w:rsidRPr="00F50383" w:rsidRDefault="009D5F0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F50383">
              <w:rPr>
                <w:b/>
                <w:color w:val="FFFFFF" w:themeColor="background1"/>
              </w:rPr>
              <w:t>Current Use: CCSS Implementation</w:t>
            </w:r>
          </w:p>
        </w:tc>
        <w:tc>
          <w:tcPr>
            <w:tcW w:w="2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9D5F01" w:rsidRPr="00F50383" w:rsidRDefault="009D5F0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F50383">
              <w:rPr>
                <w:b/>
                <w:color w:val="FFFFFF" w:themeColor="background1"/>
              </w:rPr>
              <w:t>Current Use: State-Specific Science Standards</w:t>
            </w:r>
          </w:p>
        </w:tc>
        <w:tc>
          <w:tcPr>
            <w:tcW w:w="2630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9D5F01" w:rsidRPr="00F50383" w:rsidRDefault="009D5F0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F50383">
              <w:rPr>
                <w:b/>
                <w:color w:val="FFFFFF" w:themeColor="background1"/>
              </w:rPr>
              <w:t>Future Use: NGSS Implementation</w:t>
            </w:r>
          </w:p>
        </w:tc>
      </w:tr>
      <w:tr w:rsidR="009D5F01" w:rsidTr="00B66EF8">
        <w:tc>
          <w:tcPr>
            <w:tcW w:w="1687" w:type="dxa"/>
          </w:tcPr>
          <w:p w:rsidR="009D5F01" w:rsidRDefault="009D5F01" w:rsidP="00B66EF8">
            <w:pPr>
              <w:pStyle w:val="Table-MainBodyText"/>
              <w:spacing w:before="120"/>
            </w:pPr>
            <w:r>
              <w:t>Policy/guidance</w:t>
            </w:r>
          </w:p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29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</w:tr>
      <w:tr w:rsidR="009D5F01" w:rsidTr="00B66EF8">
        <w:tc>
          <w:tcPr>
            <w:tcW w:w="1687" w:type="dxa"/>
          </w:tcPr>
          <w:p w:rsidR="009D5F01" w:rsidRDefault="009D5F01" w:rsidP="00B66EF8">
            <w:pPr>
              <w:pStyle w:val="Table-MainBodyText"/>
              <w:spacing w:before="120"/>
            </w:pPr>
            <w:r>
              <w:t>Funding</w:t>
            </w:r>
          </w:p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29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</w:tr>
      <w:tr w:rsidR="009D5F01" w:rsidTr="00B66EF8">
        <w:tc>
          <w:tcPr>
            <w:tcW w:w="1687" w:type="dxa"/>
          </w:tcPr>
          <w:p w:rsidR="009D5F01" w:rsidRDefault="009D5F01" w:rsidP="00B66EF8">
            <w:pPr>
              <w:pStyle w:val="Table-MainBodyText"/>
              <w:spacing w:before="120"/>
            </w:pPr>
            <w:r>
              <w:t>Capacity-building</w:t>
            </w:r>
          </w:p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29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</w:tr>
      <w:tr w:rsidR="009D5F01" w:rsidTr="00B66EF8">
        <w:tc>
          <w:tcPr>
            <w:tcW w:w="1687" w:type="dxa"/>
          </w:tcPr>
          <w:p w:rsidR="009D5F01" w:rsidRDefault="009D5F01" w:rsidP="00B66EF8">
            <w:pPr>
              <w:pStyle w:val="Table-MainBodyText"/>
              <w:spacing w:before="120"/>
            </w:pPr>
            <w:r>
              <w:t>Monitoring</w:t>
            </w:r>
          </w:p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29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</w:tr>
      <w:tr w:rsidR="009D5F01" w:rsidTr="00B66EF8">
        <w:tc>
          <w:tcPr>
            <w:tcW w:w="1687" w:type="dxa"/>
          </w:tcPr>
          <w:p w:rsidR="009D5F01" w:rsidRDefault="009D5F01" w:rsidP="00B66EF8">
            <w:pPr>
              <w:pStyle w:val="Table-MainBodyText"/>
              <w:spacing w:before="120"/>
            </w:pPr>
            <w:r>
              <w:t>Coordination</w:t>
            </w:r>
          </w:p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29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  <w:tc>
          <w:tcPr>
            <w:tcW w:w="2630" w:type="dxa"/>
          </w:tcPr>
          <w:p w:rsidR="009D5F01" w:rsidRDefault="009D5F01" w:rsidP="00B66EF8">
            <w:pPr>
              <w:pStyle w:val="Table-MainBodyText"/>
              <w:spacing w:before="120"/>
            </w:pPr>
          </w:p>
        </w:tc>
      </w:tr>
    </w:tbl>
    <w:p w:rsidR="00093756" w:rsidRPr="009D5F01" w:rsidRDefault="00093756" w:rsidP="009D5F01"/>
    <w:sectPr w:rsidR="00093756" w:rsidRPr="009D5F01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FD73244" wp14:editId="4DB025EE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79AC0362" wp14:editId="570AC455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1D5069">
          <w:t>5</w:t>
        </w:r>
        <w:r w:rsidR="000242CD">
          <w:t>0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4E4F4C"/>
    <w:rsid w:val="004F4825"/>
    <w:rsid w:val="009D5F01"/>
    <w:rsid w:val="009E3541"/>
    <w:rsid w:val="00A65B9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15D-E71B-4DB3-8920-7B5418D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2013-03-05T22:25:00Z</dcterms:created>
  <dcterms:modified xsi:type="dcterms:W3CDTF">2013-03-05T22:25:00Z</dcterms:modified>
</cp:coreProperties>
</file>